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315"/>
        <w:gridCol w:w="162"/>
        <w:gridCol w:w="131"/>
        <w:gridCol w:w="477"/>
        <w:gridCol w:w="477"/>
        <w:gridCol w:w="1554"/>
        <w:gridCol w:w="1344"/>
        <w:gridCol w:w="588"/>
        <w:gridCol w:w="497"/>
        <w:gridCol w:w="5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082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>福建省省属国有企业工资总额预算执行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>结果备案表</w:t>
            </w:r>
          </w:p>
        </w:tc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082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bidi="ar"/>
              </w:rPr>
              <w:t>（企业填报）</w:t>
            </w:r>
          </w:p>
        </w:tc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98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5" w:type="dxa"/>
          <w:trHeight w:val="511" w:hRule="atLeast"/>
        </w:trPr>
        <w:tc>
          <w:tcPr>
            <w:tcW w:w="2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bidi="ar"/>
              </w:rPr>
              <w:t>企业名称（章）：</w:t>
            </w:r>
          </w:p>
        </w:tc>
        <w:tc>
          <w:tcPr>
            <w:tcW w:w="4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398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560" w:firstLineChars="200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bidi="ar"/>
              </w:rPr>
              <w:t>工资总额监管部门：</w:t>
            </w:r>
          </w:p>
        </w:tc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082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企业功能性质类型：□主业处于充分竞争行业和领域的 □主业处于关系国家安全、国民经济命脉的重要行业和关键领域、主要承担重大专项任务的  □主业处于保障民生、服务社会、提供公共产品和服务的  □金融类 □文化类</w:t>
            </w:r>
          </w:p>
        </w:tc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838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项目（指标）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___年度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与上年相比增长（下降）（%）</w:t>
            </w: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市场对标情况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511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一、工资总额预算执行情况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390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报出资监管机构备案或核准的工资总额（万元）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390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 xml:space="preserve">     其中：集团本部的工资总额（万元）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390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出资监管机构清算确定的应发工资总额（万元）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390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 xml:space="preserve">     其中：集团本部的应发工资总额（万元）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390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企业实发工资总额（万元）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390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 xml:space="preserve">     其中：集团本部实发工资总额（万元）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390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职工总数（人）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737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职工年平均工资（元/人年）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是全国城镇单位就业人员平均工资___倍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390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 xml:space="preserve">     其中：集团本部职工年平均工资（元/人年）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390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二、与工资总额联动的效益指标完成情况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390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利润总额（或净利润)（万元）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390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增加值（万元）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390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经济增加值（万元）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390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净资产收益率（税后利润/所有者权益×100％）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390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重大任务完成率（请列明任务名称）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390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其他效益指标（请列明）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390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国有资产保值增值率（％）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815" w:hRule="atLeast"/>
        </w:trPr>
        <w:tc>
          <w:tcPr>
            <w:tcW w:w="2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三、与市场对标的劳动生产率指标</w:t>
            </w:r>
          </w:p>
        </w:tc>
        <w:tc>
          <w:tcPr>
            <w:tcW w:w="124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24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815" w:hRule="atLeast"/>
        </w:trPr>
        <w:tc>
          <w:tcPr>
            <w:tcW w:w="28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2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737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人均利润(或人均净利润)（万元/人年）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bidi="ar"/>
              </w:rPr>
              <w:t>高于或低于市场平均水平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655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人均增加值（万元/人年）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bidi="ar"/>
              </w:rPr>
              <w:t>高于或低于市场平均水平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655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人均经济增加值（万元/人年）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bidi="ar"/>
              </w:rPr>
              <w:t>高于或低于市场平均水平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655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人均营业收入（万元/人年）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bidi="ar"/>
              </w:rPr>
              <w:t>高于或低于市场平均水平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655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人均工作量（万元/人年）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bidi="ar"/>
              </w:rPr>
              <w:t>高于或低于市场平均水平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655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其他劳动生产率指标（请列明）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bidi="ar"/>
              </w:rPr>
              <w:t>高于或低于市场平均水平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655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人工成本利润率（%）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bidi="ar"/>
              </w:rPr>
              <w:t>高于或低于市场平均水平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655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人事费用率（%）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bidi="ar"/>
              </w:rPr>
              <w:t>高于或低于市场平均水平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8" w:type="dxa"/>
          <w:trHeight w:val="655" w:hRule="atLeast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其他人工成本投入产出率指标（请列明）</w:t>
            </w:r>
          </w:p>
        </w:tc>
        <w:tc>
          <w:tcPr>
            <w:tcW w:w="1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bidi="ar"/>
              </w:rPr>
              <w:t>高于或低于市场平均水平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082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填报人：             填报时间：            联系电话：</w:t>
            </w:r>
          </w:p>
        </w:tc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C050C"/>
    <w:rsid w:val="6C8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2018-11-13T07:58:00Z</dcterms:created>
  <dc:creator>user</dc:creator>
  <cp:lastModifiedBy>user</cp:lastModifiedBy>
  <dcterms:modified xsi:type="dcterms:W3CDTF">2018-11-13T07:59:10Z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